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C5" w:rsidRDefault="009861C5" w:rsidP="009861C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27"/>
          <w:szCs w:val="27"/>
          <w:lang w:eastAsia="ca-ES"/>
        </w:rPr>
      </w:pPr>
      <w:proofErr w:type="spellStart"/>
      <w:r w:rsidRPr="009861C5">
        <w:rPr>
          <w:rFonts w:ascii="Arial" w:eastAsia="Times New Roman" w:hAnsi="Arial" w:cs="Arial"/>
          <w:b/>
          <w:bCs/>
          <w:color w:val="444444"/>
          <w:sz w:val="27"/>
          <w:szCs w:val="27"/>
          <w:lang w:eastAsia="ca-ES"/>
        </w:rPr>
        <w:t>sábado</w:t>
      </w:r>
      <w:proofErr w:type="spellEnd"/>
      <w:r w:rsidRPr="009861C5">
        <w:rPr>
          <w:rFonts w:ascii="Arial" w:eastAsia="Times New Roman" w:hAnsi="Arial" w:cs="Arial"/>
          <w:b/>
          <w:bCs/>
          <w:color w:val="444444"/>
          <w:sz w:val="27"/>
          <w:szCs w:val="27"/>
          <w:lang w:eastAsia="ca-ES"/>
        </w:rPr>
        <w:t xml:space="preserve"> 8 de octubre de 2011</w:t>
      </w:r>
    </w:p>
    <w:p w:rsidR="009861C5" w:rsidRPr="009861C5" w:rsidRDefault="009861C5" w:rsidP="009861C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27"/>
          <w:szCs w:val="27"/>
          <w:lang w:eastAsia="ca-ES"/>
        </w:rPr>
      </w:pPr>
    </w:p>
    <w:bookmarkStart w:id="0" w:name="835765595253876877"/>
    <w:bookmarkEnd w:id="0"/>
    <w:p w:rsidR="009861C5" w:rsidRDefault="009861C5" w:rsidP="009861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</w:pPr>
      <w:r w:rsidRPr="009861C5"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  <w:fldChar w:fldCharType="begin"/>
      </w:r>
      <w:r w:rsidRPr="009861C5"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  <w:instrText xml:space="preserve"> HYPERLINK "http://blog.kernanheinz.es/2011/09/la-mirada-del-tigre.html" </w:instrText>
      </w:r>
      <w:r w:rsidRPr="009861C5"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  <w:fldChar w:fldCharType="separate"/>
      </w:r>
      <w:r w:rsidRPr="009861C5">
        <w:rPr>
          <w:rFonts w:ascii="Times New Roman" w:eastAsia="Times New Roman" w:hAnsi="Times New Roman" w:cs="Times New Roman"/>
          <w:b/>
          <w:bCs/>
          <w:color w:val="CCCCCC"/>
          <w:sz w:val="27"/>
          <w:szCs w:val="27"/>
          <w:lang w:eastAsia="ca-ES"/>
        </w:rPr>
        <w:t>La mirada del tigre</w:t>
      </w:r>
      <w:r w:rsidRPr="009861C5"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  <w:fldChar w:fldCharType="end"/>
      </w:r>
      <w:r w:rsidRPr="009861C5"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  <w:t xml:space="preserve"> </w:t>
      </w:r>
    </w:p>
    <w:p w:rsidR="009861C5" w:rsidRPr="009861C5" w:rsidRDefault="009861C5" w:rsidP="009861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567A"/>
          <w:sz w:val="27"/>
          <w:szCs w:val="27"/>
          <w:lang w:eastAsia="ca-ES"/>
        </w:rPr>
      </w:pPr>
    </w:p>
    <w:p w:rsidR="009861C5" w:rsidRPr="009861C5" w:rsidRDefault="009861C5" w:rsidP="009861C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ca-ES"/>
        </w:rPr>
      </w:pP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Tras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volver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mi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último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viaje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Brasil,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donde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cierto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cosas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siguen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popa, me di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cuenta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olvidé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colgar en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blog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artículo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escribí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12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septiembre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Aunque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ha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pasado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casi un mes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desde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lo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escribí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sigue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siendo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actualidad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lo que lo publico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ahora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vale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tarde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nunca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!. Por favor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cuenta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alguna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referencia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temporal,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hecha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base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fecha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escrito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Al final del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artículo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he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añadido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breve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comentario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sobre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algunas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informaciones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actualizar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opionión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sobre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situación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actual.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Tenemos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sobre la mesa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varios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desafíos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…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1)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Nuevas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perspectivas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económicas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: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Europa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parece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haberse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desacoplado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nuevo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mundial.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nuevo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una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zona euro con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perspectivas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muy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pobres 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(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previsión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Morgan Stanley +0,5% para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año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2012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frente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 2%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barajábamos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hasta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pocas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semanas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). Me preocupa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mucho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menor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Alemania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Francia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con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revisiones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el 2012 del 0,7% y 0,9%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respectivamente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el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España o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leve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recesión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prevista para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Italia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cualquier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caso l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as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noticias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Macro de la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eurozona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para los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próximos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meses no son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muy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positivas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2857500"/>
            <wp:effectExtent l="19050" t="0" r="0" b="0"/>
            <wp:docPr id="1" name="BLOGGER_PHOTO_ID_5657698493326032178" descr="http://1.bp.blogspot.com/-IoA0YrTRRpY/ToQuzcz1_TI/AAAAAAAAAJo/ifXi9TTHQOw/s400/Revising%2BDown%2BGDP%2BGrowth.b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57698493326032178" descr="http://1.bp.blogspot.com/-IoA0YrTRRpY/ToQuzcz1_TI/AAAAAAAAAJo/ifXi9TTHQOw/s400/Revising%2BDown%2BGDP%2BGrowth.bm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2) Los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analistas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en Europa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están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detrás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del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Aunque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hasta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final del 2º trimestre el 70%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compañías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europeas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han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presentado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aumento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beneficio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operativo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&gt; al 10% y que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mayoría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ellos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augure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ventas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año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2011 del 6.8% y para 2012 del 4.8% es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posible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dichas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previsiones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cumplan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asistamos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próximos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meses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revisiones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cadena.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Si como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Morgan Stanley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ventas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empresas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tasa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inferior o igual al 2% en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próximos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meses (ver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gráfico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abajo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)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implica,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históricamente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hablando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podríamos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bajadas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beneficios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operativos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2012.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supone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freno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brusco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respecto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previsión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+13,3%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tienen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analistas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financieros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basan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gran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extrapolación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resultados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1er semestre 2011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fueron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brillantes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El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con o sin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razón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parece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descontar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esta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recesión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en los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beneficios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empresariales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3409950"/>
            <wp:effectExtent l="19050" t="0" r="0" b="0"/>
            <wp:docPr id="2" name="BLOGGER_PHOTO_ID_5657701967536736626" descr="http://3.bp.blogspot.com/-iIBCoeBiSF8/ToQx9rQOSXI/AAAAAAAAAJw/kQ0RxlyWvLw/s400/Corporate%2BEurope%2BP%2526L%2Btop%2Bdown%2Bestimates.b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57701967536736626" descr="http://3.bp.blogspot.com/-iIBCoeBiSF8/ToQx9rQOSXI/AAAAAAAAAJw/kQ0RxlyWvLw/s400/Corporate%2BEurope%2BP%2526L%2Btop%2Bdown%2Bestimates.bm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3) ¿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Está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descontado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? Un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posible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escenario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…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Mirando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valoración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europeo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con PER (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relación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precio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/beneficio) de 8,9inferior a los 13,7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media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con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precio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valor/contable de 1,22 (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media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1,8, con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rentabilidad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dividendo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(RPD)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muchos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casos &gt; 8% como Telefónica (12%), Santander (10%), France Telecom (11,6%), Vivendi (9,2%) FCC (7%) y un largo etc...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uno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podría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fácilmente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llegar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conclusión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malo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venir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recogido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precios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acciones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seguramente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así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es.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Morgan Stanley estima a través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indicador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profundidad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diferentes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shocks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bursátiles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en las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últimas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semanas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hay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pánico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del que se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vivió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durante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shock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petróleo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del 74 y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menos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(por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ahora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) al que se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vivió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durante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la crisis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Lehman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intentar evitar (a veces es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difícil) tomar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decisión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venta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pleno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pánico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valoración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activos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realiza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tomando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uso de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razón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sinó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simplemente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el "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sálvese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quién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pueda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". Si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hubiese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pensado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julio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volvíamos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misma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situación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económica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la del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año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2008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habría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vendido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como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hice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hubiese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vuelto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comprar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posteriormente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¿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Estamos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pues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ante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capitulación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final?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espero que el BCE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rectificará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error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reduciendo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nuevo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tipos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interés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tasas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cercanas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 1% 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aunque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signifique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subidas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corto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plazo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las acciones y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bonos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éstas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podrían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ser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momentáneas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tendríamos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alcista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hasta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segunda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2012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momento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partir del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cual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crecimientos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PIB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grandes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economías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europeas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de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vuelta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 incremento de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beneficios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acción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(BPA)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podría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asistir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fuerte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repunte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mercados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esta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vez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un amplio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periodo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tiempo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obstante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alcista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duradero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podría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empezar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ahora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justo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analistas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empezarán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revisar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estimaciones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problema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político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gravísimo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: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-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¿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Qué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tipo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default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aplicarán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Grecia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?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Espero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duro (quita del 50-60%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deuda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pública).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afectaría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sobre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bancos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franceses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alemanes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(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ahora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compañerismo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)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luego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tendrían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recapitalizarse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con el fondo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europeo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(en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negociación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). Es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resaltar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bancos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españoles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penas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tienen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deuda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Griega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ello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se han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escapado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bajadas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algunos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piensan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podrían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problemas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encontrar recursos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financieros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Sobre esta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cuestión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BCE ha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claro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: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bancos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tendrán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liquidez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necesiten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-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¿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Salida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Grecia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del Euro?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(es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decisión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política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sabremos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breve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). Si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Grecia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recupera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Dragma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una posterior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devaluación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aumentaría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deuda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proporcionaría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competitividad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...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equilibrando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así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contras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cualquier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caso no me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gustaría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vivir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Grecia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hoy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pues les espera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larga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penitencia.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cualquier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caso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salida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Grecia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Euro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reforzaría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credibilidad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nuestra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moneda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mensaje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contundente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futuros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incumplidores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compensaría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efecto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inflacionario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producido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la barra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libre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ofrece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BCE a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bancos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2857500"/>
            <wp:effectExtent l="19050" t="0" r="0" b="0"/>
            <wp:docPr id="3" name="BLOGGER_PHOTO_ID_5661137968686823506" descr="http://1.bp.blogspot.com/-El-t9qskw0E/TpBm_RAN-FI/AAAAAAAAAJ4/FAIorAUXzXI/s400/MSCI%2BEurope-%2B%2525%2Bfrom%2BMovin%2BAverage.b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61137968686823506" descr="http://1.bp.blogspot.com/-El-t9qskw0E/TpBm_RAN-FI/AAAAAAAAAJ4/FAIorAUXzXI/s400/MSCI%2BEurope-%2B%2525%2Bfrom%2BMovin%2BAverage.bm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Valoración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del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Timing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: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ello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los que han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suerte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volver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entrar en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mercado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desde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comienzo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vacaciones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hasta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hoy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tienen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oportunidad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comprar valores como Telefónica, France Telecom,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FCC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etc. con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rentabilidades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dividendo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entorno al 9%-12%,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suponiendo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claro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sostenibles en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tiempo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significa que una persona que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tenga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disponer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dinero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gastos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corrientes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sin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tiemblen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la hora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comprarlos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puede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recuperar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inversión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(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siempre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reinvierta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recibido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) en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plazo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6/7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años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muchas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inversiones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actualmente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den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posibilidades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si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comparamos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con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depósito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plazo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 3%-4%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tendrá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esperar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unos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20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años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obtener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mismo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resultado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Para los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están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invertidos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vender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ahora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simplemente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regalar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dinero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cambio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mayor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aparente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tranquilidad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Otra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alternativa es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irse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USA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parece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una alternativa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prudente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aunque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elevado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déficit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fuerte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endeudamiento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también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ha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provocado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por primera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vez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la historia S&amp;P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rebaje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máxima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calificación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crediticia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ha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favorecido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preferencia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invertir en Europa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vez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hacerlo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USA.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Con los indicadores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timing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la mano Morgan Stanley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dice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ahora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mismo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una zona de compra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de venta. 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caso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tendría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mucho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sentido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deshacer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una cartera con valores que nos van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producir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unos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rendimientos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recurrentes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cercanos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 10%,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aunque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corto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plazo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implique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una gran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frustración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...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2857500"/>
            <wp:effectExtent l="19050" t="0" r="0" b="0"/>
            <wp:docPr id="4" name="BLOGGER_PHOTO_ID_5661139343647945186" descr="http://3.bp.blogspot.com/-bFa6wC7eIKA/TpBoPTIfseI/AAAAAAAAAKA/ThVeRP8upcY/s400/Cmbined%2BMarket%2BTiming%2BIndicator.b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61139343647945186" descr="http://3.bp.blogspot.com/-bFa6wC7eIKA/TpBoPTIfseI/AAAAAAAAAKA/ThVeRP8upcY/s400/Cmbined%2BMarket%2BTiming%2BIndicator.bmp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2600325"/>
            <wp:effectExtent l="19050" t="0" r="0" b="0"/>
            <wp:docPr id="5" name="BLOGGER_PHOTO_ID_5661139608684011234" descr="http://2.bp.blogspot.com/-CBNI4Pn-uyA/TpBoeueBHuI/AAAAAAAAAKI/S_KRJcUsgjo/s400/Market%2BTiming%2BIndicators.bmp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61139608684011234" descr="http://2.bp.blogspot.com/-CBNI4Pn-uyA/TpBoeueBHuI/AAAAAAAAAKI/S_KRJcUsgjo/s400/Market%2BTiming%2BIndicators.bmp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Gráfico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Valoraciones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Empresas : P/E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2476500"/>
            <wp:effectExtent l="19050" t="0" r="0" b="0"/>
            <wp:docPr id="6" name="BLOGGER_PHOTO_ID_5661143794325478658" descr="http://1.bp.blogspot.com/-TYhnQxNg-oY/TpBsSXMtXQI/AAAAAAAAAKY/AE89yt_cLqo/s400/MSCI-N12M%2BPrice%2Bto%2BEarnings.t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61143794325478658" descr="http://1.bp.blogspot.com/-TYhnQxNg-oY/TpBsSXMtXQI/AAAAAAAAAKY/AE89yt_cLqo/s400/MSCI-N12M%2BPrice%2Bto%2BEarnings.t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Gráfico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: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Precio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/Valor Contable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>
        <w:rPr>
          <w:rFonts w:ascii="Arial" w:eastAsia="Times New Roman" w:hAnsi="Arial" w:cs="Arial"/>
          <w:noProof/>
          <w:color w:val="CCCCCC"/>
          <w:sz w:val="20"/>
          <w:szCs w:val="20"/>
          <w:lang w:eastAsia="ca-ES"/>
        </w:rPr>
        <w:drawing>
          <wp:inline distT="0" distB="0" distL="0" distR="0">
            <wp:extent cx="3810000" cy="2476500"/>
            <wp:effectExtent l="19050" t="0" r="0" b="0"/>
            <wp:docPr id="7" name="BLOGGER_PHOTO_ID_5661144969100641522" descr="http://4.bp.blogspot.com/-mnSNlw7D5dc/TpBtWvk7xPI/AAAAAAAAAKg/KKgQXYwlWxM/s400/MSCI-Europe-N12-Price-to-B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61144969100641522" descr="http://4.bp.blogspot.com/-mnSNlw7D5dc/TpBtWvk7xPI/AAAAAAAAAKg/KKgQXYwlWxM/s400/MSCI-Europe-N12-Price-to-Bo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Como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siempre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es opinable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respetable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he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tomado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decisión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!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</w:p>
    <w:p w:rsidR="009861C5" w:rsidRPr="009861C5" w:rsidRDefault="009861C5" w:rsidP="009861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a-ES"/>
        </w:rPr>
      </w:pP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6"/>
          <w:lang w:eastAsia="ca-ES"/>
        </w:rPr>
        <w:t>Comentario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6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6"/>
          <w:lang w:eastAsia="ca-ES"/>
        </w:rPr>
        <w:t>día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6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6"/>
          <w:lang w:eastAsia="ca-ES"/>
        </w:rPr>
        <w:t>hoy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6"/>
          <w:lang w:eastAsia="ca-ES"/>
        </w:rPr>
        <w:t xml:space="preserve">: </w:t>
      </w:r>
    </w:p>
    <w:p w:rsidR="009861C5" w:rsidRPr="009861C5" w:rsidRDefault="009861C5" w:rsidP="009861C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ca-ES"/>
        </w:rPr>
      </w:pP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Con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últimas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ratificaciones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mayoría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parlamentos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 zona Euro sobre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ayuda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Grècia, creo que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construyendo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un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cortafuego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momento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que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anuncie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oficialmente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suspensión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pagos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Grecia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cortafuego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consistiría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una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segunda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recapitalización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los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bancos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europeos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, una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bajada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a cero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tipo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interés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liquidez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ilimitada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a los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bancos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apoyo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incondicional del BCE en la compra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bonos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del resto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países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periféricos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ello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evitar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efecto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dominó entre estos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países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Si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produce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como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creo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antes de que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finalice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año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,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creo que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asistiremos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a una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subida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generalizada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los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mercados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fin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política, que en estos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momentos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condiciona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todas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decisiones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inversión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cederá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paso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nuevo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fundamental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Mientras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tanto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mercados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seguirán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al tambor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declaraciones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irresponsables de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políticos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turno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lo que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es de esperar que la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volatilidad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siga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niveles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elevadísimos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También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comentar que los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siguieron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mi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sugerencia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invertir en USA no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equivocaron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después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las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recientes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subidas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dólar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debidas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miedo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razones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objetivas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mi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consejo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sería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deshicieran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posiciones para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volver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Europa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donde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precios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relativos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son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mucho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atractivos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En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España, la agencia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calificación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Fitch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acaba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rebajar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otra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vez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rating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solvencia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país.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unido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recién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publicada noticia del INE sobre la perspectiva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importantes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descensos de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población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española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próxima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década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nos indica que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no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tendremos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tasas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crecimiento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la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economía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elevadas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hasta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dentro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muchos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años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lo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cual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la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vez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nos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permitirá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rebajar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sustancialmente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ni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nivel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endeudamiento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ni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déficit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público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estructural, etc.</w:t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</w:r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br/>
        <w:t xml:space="preserve">El panorama no es pues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muy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halagüeño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aunque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no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hay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que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olvidar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que el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ciclo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económico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finaciero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avanzan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por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distintos</w:t>
      </w:r>
      <w:proofErr w:type="spellEnd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b/>
          <w:bCs/>
          <w:color w:val="333333"/>
          <w:sz w:val="20"/>
          <w:lang w:eastAsia="ca-ES"/>
        </w:rPr>
        <w:t>caminos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Mientras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financiero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puede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seguir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encontrando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oportunidades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Europa, al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emprendedor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le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será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más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fácil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encontrarlas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fuera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del país.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para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ello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necesitará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volver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la mirada del tigre: la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cuando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somos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pobres,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estamos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hambrientos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y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ya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tenemos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nada que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perder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. Y por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suerte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o por desgracia, Europa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aún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no se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encuentra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 xml:space="preserve"> en esta </w:t>
      </w:r>
      <w:proofErr w:type="spellStart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situación</w:t>
      </w:r>
      <w:proofErr w:type="spellEnd"/>
      <w:r w:rsidRPr="009861C5">
        <w:rPr>
          <w:rFonts w:ascii="Arial" w:eastAsia="Times New Roman" w:hAnsi="Arial" w:cs="Arial"/>
          <w:color w:val="333333"/>
          <w:sz w:val="20"/>
          <w:szCs w:val="20"/>
          <w:lang w:eastAsia="ca-ES"/>
        </w:rPr>
        <w:t>.</w:t>
      </w:r>
    </w:p>
    <w:p w:rsidR="009861C5" w:rsidRDefault="009861C5"/>
    <w:sectPr w:rsidR="00986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9861C5"/>
    <w:rsid w:val="0098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861C5"/>
    <w:pPr>
      <w:spacing w:after="0" w:line="240" w:lineRule="auto"/>
      <w:outlineLvl w:val="1"/>
    </w:pPr>
    <w:rPr>
      <w:rFonts w:ascii="Arial" w:eastAsia="Times New Roman" w:hAnsi="Arial" w:cs="Arial"/>
      <w:b/>
      <w:bCs/>
      <w:color w:val="444444"/>
      <w:sz w:val="27"/>
      <w:szCs w:val="27"/>
      <w:lang w:eastAsia="ca-ES"/>
    </w:rPr>
  </w:style>
  <w:style w:type="paragraph" w:styleId="Ttulo3">
    <w:name w:val="heading 3"/>
    <w:basedOn w:val="Normal"/>
    <w:link w:val="Ttulo3Car"/>
    <w:uiPriority w:val="9"/>
    <w:qFormat/>
    <w:rsid w:val="009861C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61C5"/>
    <w:rPr>
      <w:rFonts w:ascii="Arial" w:eastAsia="Times New Roman" w:hAnsi="Arial" w:cs="Arial"/>
      <w:b/>
      <w:bCs/>
      <w:color w:val="444444"/>
      <w:sz w:val="27"/>
      <w:szCs w:val="27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9861C5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9861C5"/>
    <w:rPr>
      <w:strike w:val="0"/>
      <w:dstrike w:val="0"/>
      <w:color w:val="CCCC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9861C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1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04699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6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661541">
                                                                  <w:marLeft w:val="0"/>
                                                                  <w:marRight w:val="0"/>
                                                                  <w:marTop w:val="8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333333"/>
                                                                    <w:left w:val="single" w:sz="6" w:space="11" w:color="333333"/>
                                                                    <w:bottom w:val="single" w:sz="6" w:space="0" w:color="333333"/>
                                                                    <w:right w:val="single" w:sz="6" w:space="11" w:color="333333"/>
                                                                  </w:divBdr>
                                                                  <w:divsChild>
                                                                    <w:div w:id="145497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2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333333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30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88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9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203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El-t9qskw0E/TpBm_RAN-FI/AAAAAAAAAJ4/FAIorAUXzXI/s1600/MSCI%2BEurope-%2B%2525%2Bfrom%2BMovin%2BAverage.bmp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2.bp.blogspot.com/-CBNI4Pn-uyA/TpBoeueBHuI/AAAAAAAAAKI/S_KRJcUsgjo/s1600/Market%2BTiming%2BIndicators.bm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4.bp.blogspot.com/-mnSNlw7D5dc/TpBtWvk7xPI/AAAAAAAAAKg/KKgQXYwlWxM/s1600/MSCI-Europe-N12-Price-to-Bo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3.bp.blogspot.com/-iIBCoeBiSF8/ToQx9rQOSXI/AAAAAAAAAJw/kQ0RxlyWvLw/s1600/Corporate%2BEurope%2BP%2526L%2Btop%2Bdown%2Bestimates.bm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3.bp.blogspot.com/-bFa6wC7eIKA/TpBoPTIfseI/AAAAAAAAAKA/ThVeRP8upcY/s1600/Cmbined%2BMarket%2BTiming%2BIndicator.bm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1.bp.blogspot.com/-IoA0YrTRRpY/ToQuzcz1_TI/AAAAAAAAAJo/ifXi9TTHQOw/s1600/Revising%2BDown%2BGDP%2BGrowth.bmp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1.bp.blogspot.com/-TYhnQxNg-oY/TpBsSXMtXQI/AAAAAAAAAKY/AE89yt_cLqo/s1600/MSCI-N12M%2BPrice%2Bto%2BEarnings.t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1406</Words>
  <Characters>8017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1</cp:revision>
  <dcterms:created xsi:type="dcterms:W3CDTF">2011-10-10T06:50:00Z</dcterms:created>
  <dcterms:modified xsi:type="dcterms:W3CDTF">2011-10-10T06:52:00Z</dcterms:modified>
</cp:coreProperties>
</file>